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马克思主义学院督导工作情况调查问卷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您所在专业/教研室（单选）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毛泽东思想和中国特色社会主义理论体系概论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33474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8765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19264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539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思想道德与法治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81106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447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71633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9139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形势与政策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19106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215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33633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184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09844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188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42895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4135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3369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647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19370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5672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4639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775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66737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1544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86002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605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06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17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90632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669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18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2624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639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511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33474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248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19264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331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95369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89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0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428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148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7879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60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662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897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8505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482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1651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540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246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545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392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55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700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452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05107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531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7632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808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516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788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0995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73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743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943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058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4656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11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3444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420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3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535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971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556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730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24107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081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28632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3028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19106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133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33633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692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115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0072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您对学院督导工作的宝贵意见和建议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666666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